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5E7" w:rsidRPr="00B065E7" w:rsidRDefault="006E2019" w:rsidP="00B065E7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color w:val="307769"/>
          <w:sz w:val="27"/>
          <w:szCs w:val="27"/>
        </w:rPr>
      </w:pPr>
      <w:r>
        <w:fldChar w:fldCharType="begin"/>
      </w:r>
      <w:r>
        <w:instrText xml:space="preserve"> HYPERLINK "https://www.plymouth.edu/office/educator-preparation/certification-testing-requirements/" \o "Permanent Link to Certification Testing Requirements" </w:instrText>
      </w:r>
      <w:r>
        <w:fldChar w:fldCharType="separate"/>
      </w:r>
      <w:r w:rsidR="00B065E7" w:rsidRPr="00B065E7">
        <w:rPr>
          <w:rFonts w:ascii="Arial" w:eastAsia="Times New Roman" w:hAnsi="Arial" w:cs="Arial"/>
          <w:color w:val="307769"/>
          <w:sz w:val="30"/>
          <w:szCs w:val="30"/>
          <w:bdr w:val="none" w:sz="0" w:space="0" w:color="auto" w:frame="1"/>
        </w:rPr>
        <w:t>Certification Testing Requirements</w:t>
      </w:r>
      <w:r>
        <w:rPr>
          <w:rFonts w:ascii="Arial" w:eastAsia="Times New Roman" w:hAnsi="Arial" w:cs="Arial"/>
          <w:color w:val="307769"/>
          <w:sz w:val="30"/>
          <w:szCs w:val="30"/>
          <w:bdr w:val="none" w:sz="0" w:space="0" w:color="auto" w:frame="1"/>
        </w:rPr>
        <w:fldChar w:fldCharType="end"/>
      </w:r>
    </w:p>
    <w:p w:rsidR="00824305" w:rsidRDefault="00824305" w:rsidP="00B065E7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824305" w:rsidRDefault="004119CA" w:rsidP="00B065E7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 xml:space="preserve">During your program and prior to earning certification, you will need to demonstrate skills and knowledge required of teachers in your field. 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</w:p>
    <w:p w:rsidR="004119CA" w:rsidRDefault="004119CA" w:rsidP="00B065E7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4119CA" w:rsidRPr="004119CA" w:rsidRDefault="004119CA" w:rsidP="0096604E">
      <w:pPr>
        <w:spacing w:line="240" w:lineRule="atLeast"/>
        <w:textAlignment w:val="baseline"/>
        <w:rPr>
          <w:rFonts w:ascii="Arial" w:eastAsia="Times New Roman" w:hAnsi="Arial" w:cs="Arial"/>
          <w:i/>
          <w:color w:val="555555"/>
          <w:sz w:val="20"/>
          <w:szCs w:val="20"/>
        </w:rPr>
      </w:pPr>
      <w:r w:rsidRPr="004119CA">
        <w:rPr>
          <w:rFonts w:ascii="Arial" w:eastAsia="Times New Roman" w:hAnsi="Arial" w:cs="Arial"/>
          <w:i/>
          <w:color w:val="555555"/>
          <w:sz w:val="20"/>
          <w:szCs w:val="20"/>
        </w:rPr>
        <w:t>Basic Skills</w:t>
      </w:r>
    </w:p>
    <w:p w:rsidR="00B065E7" w:rsidRDefault="004119CA" w:rsidP="0096604E">
      <w:pPr>
        <w:spacing w:line="24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 xml:space="preserve">Candidates in </w:t>
      </w:r>
      <w:r w:rsidRPr="004119CA">
        <w:rPr>
          <w:rFonts w:ascii="Arial" w:eastAsia="Times New Roman" w:hAnsi="Arial" w:cs="Arial"/>
          <w:b/>
          <w:color w:val="555555"/>
          <w:sz w:val="20"/>
          <w:szCs w:val="20"/>
        </w:rPr>
        <w:t xml:space="preserve">all </w:t>
      </w:r>
      <w:r w:rsidR="0096604E">
        <w:rPr>
          <w:rFonts w:ascii="Arial" w:eastAsia="Times New Roman" w:hAnsi="Arial" w:cs="Arial"/>
          <w:b/>
          <w:color w:val="555555"/>
          <w:sz w:val="20"/>
          <w:szCs w:val="20"/>
        </w:rPr>
        <w:t xml:space="preserve">educator </w:t>
      </w:r>
      <w:r>
        <w:rPr>
          <w:rFonts w:ascii="Arial" w:eastAsia="Times New Roman" w:hAnsi="Arial" w:cs="Arial"/>
          <w:b/>
          <w:color w:val="555555"/>
          <w:sz w:val="20"/>
          <w:szCs w:val="20"/>
        </w:rPr>
        <w:t xml:space="preserve">preparation </w:t>
      </w:r>
      <w:r w:rsidRPr="004119CA">
        <w:rPr>
          <w:rFonts w:ascii="Arial" w:eastAsia="Times New Roman" w:hAnsi="Arial" w:cs="Arial"/>
          <w:b/>
          <w:color w:val="555555"/>
          <w:sz w:val="20"/>
          <w:szCs w:val="20"/>
        </w:rPr>
        <w:t>programs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must demonstrate basic skills in </w:t>
      </w:r>
      <w:r w:rsidR="00B065E7" w:rsidRPr="00B065E7">
        <w:rPr>
          <w:rFonts w:ascii="Arial" w:eastAsia="Times New Roman" w:hAnsi="Arial" w:cs="Arial"/>
          <w:color w:val="555555"/>
          <w:sz w:val="20"/>
          <w:szCs w:val="20"/>
        </w:rPr>
        <w:t>reading, writing, and mathematics.  There are </w:t>
      </w:r>
      <w:hyperlink r:id="rId5" w:history="1">
        <w:r w:rsidR="00B065E7" w:rsidRPr="00B065E7">
          <w:rPr>
            <w:rFonts w:ascii="Arial" w:eastAsia="Times New Roman" w:hAnsi="Arial" w:cs="Arial"/>
            <w:color w:val="C44600"/>
            <w:sz w:val="20"/>
            <w:szCs w:val="20"/>
            <w:bdr w:val="none" w:sz="0" w:space="0" w:color="auto" w:frame="1"/>
          </w:rPr>
          <w:t>several ways</w:t>
        </w:r>
      </w:hyperlink>
      <w:r w:rsidR="00B065E7" w:rsidRPr="00B065E7">
        <w:rPr>
          <w:rFonts w:ascii="Arial" w:eastAsia="Times New Roman" w:hAnsi="Arial" w:cs="Arial"/>
          <w:color w:val="555555"/>
          <w:sz w:val="20"/>
          <w:szCs w:val="20"/>
        </w:rPr>
        <w:t xml:space="preserve"> a candidate may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demonstrate their skill, the most common of which is the Praxis Core Exam. </w:t>
      </w:r>
    </w:p>
    <w:p w:rsidR="004119CA" w:rsidRDefault="004119CA" w:rsidP="0096604E">
      <w:pPr>
        <w:spacing w:line="24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4119CA" w:rsidRDefault="004119CA" w:rsidP="0096604E">
      <w:pPr>
        <w:spacing w:line="24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i/>
          <w:color w:val="555555"/>
          <w:sz w:val="20"/>
          <w:szCs w:val="20"/>
        </w:rPr>
        <w:t>Content Knowledge</w:t>
      </w:r>
    </w:p>
    <w:p w:rsidR="0096604E" w:rsidRPr="00B065E7" w:rsidRDefault="00B065E7" w:rsidP="0096604E">
      <w:pPr>
        <w:spacing w:line="24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065E7">
        <w:rPr>
          <w:rFonts w:ascii="Arial" w:eastAsia="Times New Roman" w:hAnsi="Arial" w:cs="Arial"/>
          <w:color w:val="555555"/>
          <w:sz w:val="20"/>
          <w:szCs w:val="20"/>
        </w:rPr>
        <w:t xml:space="preserve">In addition, 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prior to earning a </w:t>
      </w:r>
      <w:r w:rsidRPr="00B065E7">
        <w:rPr>
          <w:rFonts w:ascii="Arial" w:eastAsia="Times New Roman" w:hAnsi="Arial" w:cs="Arial"/>
          <w:color w:val="555555"/>
          <w:sz w:val="20"/>
          <w:szCs w:val="20"/>
        </w:rPr>
        <w:t>N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ew </w:t>
      </w:r>
      <w:r w:rsidRPr="00B065E7">
        <w:rPr>
          <w:rFonts w:ascii="Arial" w:eastAsia="Times New Roman" w:hAnsi="Arial" w:cs="Arial"/>
          <w:color w:val="555555"/>
          <w:sz w:val="20"/>
          <w:szCs w:val="20"/>
        </w:rPr>
        <w:t>H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ampshire teaching certification, </w:t>
      </w:r>
      <w:r w:rsidR="005839FD" w:rsidRPr="0096604E">
        <w:rPr>
          <w:rFonts w:ascii="Arial" w:eastAsia="Times New Roman" w:hAnsi="Arial" w:cs="Arial"/>
          <w:b/>
          <w:color w:val="555555"/>
          <w:sz w:val="20"/>
          <w:szCs w:val="20"/>
        </w:rPr>
        <w:t>candidates in many programs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 must also demonstrate a deep understanding of content knowledge related to the age and subject area or areas they plan to teach</w:t>
      </w:r>
      <w:r w:rsidR="00B973C0">
        <w:rPr>
          <w:rFonts w:ascii="Arial" w:eastAsia="Times New Roman" w:hAnsi="Arial" w:cs="Arial"/>
          <w:color w:val="555555"/>
          <w:sz w:val="20"/>
          <w:szCs w:val="20"/>
        </w:rPr>
        <w:t xml:space="preserve"> by taking the Praxis II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.  The Praxis II Exam provides evidence of content knowledge.  Passing the Praxis II is a Department of Education requirement for certification and, for some programs, a prerequisite to </w:t>
      </w:r>
      <w:r w:rsidR="0096604E">
        <w:rPr>
          <w:rFonts w:ascii="Arial" w:eastAsia="Times New Roman" w:hAnsi="Arial" w:cs="Arial"/>
          <w:color w:val="555555"/>
          <w:sz w:val="20"/>
          <w:szCs w:val="20"/>
        </w:rPr>
        <w:t xml:space="preserve">the Internship in Teaching. </w:t>
      </w:r>
      <w:r w:rsidR="005839FD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="0096604E">
        <w:rPr>
          <w:rFonts w:ascii="Arial" w:eastAsia="Times New Roman" w:hAnsi="Arial" w:cs="Arial"/>
          <w:color w:val="555555"/>
          <w:sz w:val="20"/>
          <w:szCs w:val="20"/>
        </w:rPr>
        <w:t xml:space="preserve">To learn more about the PRAXIS </w:t>
      </w:r>
      <w:r w:rsidR="0096604E" w:rsidRPr="00B065E7">
        <w:rPr>
          <w:rFonts w:ascii="Arial" w:eastAsia="Times New Roman" w:hAnsi="Arial" w:cs="Arial"/>
          <w:color w:val="555555"/>
          <w:sz w:val="20"/>
          <w:szCs w:val="20"/>
        </w:rPr>
        <w:t>tests, please visit the </w:t>
      </w:r>
      <w:hyperlink r:id="rId6" w:history="1">
        <w:r w:rsidR="0096604E" w:rsidRPr="00B065E7">
          <w:rPr>
            <w:rFonts w:ascii="Arial" w:eastAsia="Times New Roman" w:hAnsi="Arial" w:cs="Arial"/>
            <w:color w:val="C44600"/>
            <w:sz w:val="20"/>
            <w:szCs w:val="20"/>
            <w:bdr w:val="none" w:sz="0" w:space="0" w:color="auto" w:frame="1"/>
          </w:rPr>
          <w:t>ETS-NH Website</w:t>
        </w:r>
      </w:hyperlink>
      <w:r w:rsidR="0096604E" w:rsidRPr="00B065E7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96604E" w:rsidRDefault="0096604E" w:rsidP="00B065E7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96604E" w:rsidRDefault="0096604E" w:rsidP="00B065E7">
      <w:pPr>
        <w:textAlignment w:val="baseline"/>
        <w:rPr>
          <w:rFonts w:ascii="Arial" w:eastAsia="Times New Roman" w:hAnsi="Arial" w:cs="Arial"/>
          <w:i/>
          <w:color w:val="555555"/>
          <w:sz w:val="20"/>
          <w:szCs w:val="20"/>
        </w:rPr>
      </w:pPr>
      <w:r w:rsidRPr="0096604E">
        <w:rPr>
          <w:rFonts w:ascii="Arial" w:eastAsia="Times New Roman" w:hAnsi="Arial" w:cs="Arial"/>
          <w:i/>
          <w:color w:val="555555"/>
          <w:sz w:val="20"/>
          <w:szCs w:val="20"/>
        </w:rPr>
        <w:t>Foundations of Reading</w:t>
      </w:r>
    </w:p>
    <w:p w:rsidR="0096604E" w:rsidRPr="00B065E7" w:rsidRDefault="0096604E" w:rsidP="0096604E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96604E">
        <w:rPr>
          <w:rFonts w:ascii="Arial" w:eastAsia="Times New Roman" w:hAnsi="Arial" w:cs="Arial"/>
          <w:b/>
          <w:color w:val="555555"/>
          <w:sz w:val="20"/>
          <w:szCs w:val="20"/>
        </w:rPr>
        <w:t>Candidates enrolled in Early Childhood, Elementary Education (K-6 and K-8), and the Reading Writing Specialist program</w:t>
      </w:r>
      <w:r>
        <w:rPr>
          <w:rFonts w:ascii="Arial" w:eastAsia="Times New Roman" w:hAnsi="Arial" w:cs="Arial"/>
          <w:b/>
          <w:color w:val="555555"/>
          <w:sz w:val="20"/>
          <w:szCs w:val="20"/>
        </w:rPr>
        <w:t>s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must also take the Foundations of Reading Exam.  </w:t>
      </w:r>
      <w:r w:rsidRPr="00B065E7">
        <w:rPr>
          <w:rFonts w:ascii="Arial" w:eastAsia="Times New Roman" w:hAnsi="Arial" w:cs="Arial"/>
          <w:color w:val="555555"/>
          <w:sz w:val="20"/>
          <w:szCs w:val="20"/>
        </w:rPr>
        <w:t xml:space="preserve">For information regarding the Foundations of Reading </w:t>
      </w:r>
      <w:r>
        <w:rPr>
          <w:rFonts w:ascii="Arial" w:eastAsia="Times New Roman" w:hAnsi="Arial" w:cs="Arial"/>
          <w:color w:val="555555"/>
          <w:sz w:val="20"/>
          <w:szCs w:val="20"/>
        </w:rPr>
        <w:t>exam</w:t>
      </w:r>
      <w:r w:rsidRPr="00B065E7">
        <w:rPr>
          <w:rFonts w:ascii="Arial" w:eastAsia="Times New Roman" w:hAnsi="Arial" w:cs="Arial"/>
          <w:color w:val="555555"/>
          <w:sz w:val="20"/>
          <w:szCs w:val="20"/>
        </w:rPr>
        <w:t>, visit the </w:t>
      </w:r>
      <w:hyperlink r:id="rId7" w:history="1">
        <w:r w:rsidRPr="00B065E7">
          <w:rPr>
            <w:rFonts w:ascii="Arial" w:eastAsia="Times New Roman" w:hAnsi="Arial" w:cs="Arial"/>
            <w:color w:val="C44600"/>
            <w:sz w:val="20"/>
            <w:szCs w:val="20"/>
            <w:bdr w:val="none" w:sz="0" w:space="0" w:color="auto" w:frame="1"/>
          </w:rPr>
          <w:t>NH Foundations of Reading website</w:t>
        </w:r>
      </w:hyperlink>
      <w:r>
        <w:rPr>
          <w:rFonts w:ascii="Arial" w:eastAsia="Times New Roman" w:hAnsi="Arial" w:cs="Arial"/>
          <w:color w:val="C44600"/>
          <w:sz w:val="20"/>
          <w:szCs w:val="20"/>
          <w:bdr w:val="none" w:sz="0" w:space="0" w:color="auto" w:frame="1"/>
        </w:rPr>
        <w:t xml:space="preserve">. </w:t>
      </w:r>
    </w:p>
    <w:p w:rsidR="0096604E" w:rsidRPr="0096604E" w:rsidRDefault="0096604E" w:rsidP="00B065E7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B065E7" w:rsidRPr="00B065E7" w:rsidRDefault="00B065E7" w:rsidP="00B065E7">
      <w:pPr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96604E" w:rsidRDefault="0096604E" w:rsidP="0096604E">
      <w:pPr>
        <w:ind w:right="375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 xml:space="preserve">The chart </w:t>
      </w:r>
      <w:r w:rsidR="00B065E7" w:rsidRPr="00B065E7">
        <w:rPr>
          <w:rFonts w:ascii="Arial" w:eastAsia="Times New Roman" w:hAnsi="Arial" w:cs="Arial"/>
          <w:color w:val="555555"/>
          <w:sz w:val="20"/>
          <w:szCs w:val="20"/>
        </w:rPr>
        <w:t xml:space="preserve">below </w:t>
      </w:r>
      <w:r>
        <w:rPr>
          <w:rFonts w:ascii="Arial" w:eastAsia="Times New Roman" w:hAnsi="Arial" w:cs="Arial"/>
          <w:color w:val="555555"/>
          <w:sz w:val="20"/>
          <w:szCs w:val="20"/>
        </w:rPr>
        <w:t>outlines the exams candidates in each program needs to take. Please feel free to contact us with additional questions or concerns about any exam requirement:</w:t>
      </w:r>
    </w:p>
    <w:p w:rsidR="00B065E7" w:rsidRDefault="006E2019" w:rsidP="0096604E">
      <w:pPr>
        <w:ind w:right="375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hyperlink r:id="rId8" w:history="1">
        <w:r w:rsidR="0096604E">
          <w:rPr>
            <w:rStyle w:val="Hyperlink"/>
            <w:rFonts w:ascii="Arial" w:eastAsia="Times New Roman" w:hAnsi="Arial" w:cs="Arial"/>
            <w:color w:val="C44600"/>
            <w:sz w:val="20"/>
            <w:szCs w:val="20"/>
            <w:bdr w:val="none" w:sz="0" w:space="0" w:color="auto" w:frame="1"/>
          </w:rPr>
          <w:t>psu-praxis@plymouth.edu</w:t>
        </w:r>
      </w:hyperlink>
      <w:r w:rsidR="0096604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6604E" w:rsidRPr="00B065E7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</w:p>
    <w:p w:rsidR="005E5503" w:rsidRPr="00B973C0" w:rsidRDefault="005E5503" w:rsidP="0096604E">
      <w:pPr>
        <w:ind w:right="375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7049"/>
      </w:tblGrid>
      <w:tr w:rsidR="005E5503" w:rsidRPr="00B973C0" w:rsidTr="005E5503">
        <w:tc>
          <w:tcPr>
            <w:tcW w:w="3116" w:type="dxa"/>
            <w:shd w:val="clear" w:color="auto" w:fill="92D050"/>
          </w:tcPr>
          <w:p w:rsidR="005E5503" w:rsidRPr="00B973C0" w:rsidRDefault="005E5503" w:rsidP="00033701">
            <w:pPr>
              <w:rPr>
                <w:rFonts w:ascii="Arial" w:hAnsi="Arial" w:cs="Arial"/>
                <w:color w:val="000000" w:themeColor="text1"/>
              </w:rPr>
            </w:pPr>
            <w:r w:rsidRPr="00B973C0">
              <w:rPr>
                <w:rFonts w:ascii="Arial" w:hAnsi="Arial" w:cs="Arial"/>
                <w:color w:val="000000" w:themeColor="text1"/>
              </w:rPr>
              <w:t>PROGRAM</w:t>
            </w:r>
          </w:p>
        </w:tc>
        <w:tc>
          <w:tcPr>
            <w:tcW w:w="7049" w:type="dxa"/>
            <w:shd w:val="clear" w:color="auto" w:fill="92D050"/>
          </w:tcPr>
          <w:p w:rsidR="005E5503" w:rsidRPr="00B973C0" w:rsidRDefault="005E5503" w:rsidP="00033701">
            <w:pPr>
              <w:rPr>
                <w:rFonts w:ascii="Arial" w:hAnsi="Arial" w:cs="Arial"/>
                <w:color w:val="000000" w:themeColor="text1"/>
              </w:rPr>
            </w:pPr>
            <w:r w:rsidRPr="00B973C0">
              <w:rPr>
                <w:rFonts w:ascii="Arial" w:hAnsi="Arial" w:cs="Arial"/>
                <w:color w:val="000000" w:themeColor="text1"/>
              </w:rPr>
              <w:t>EXAMS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Early Childhood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Foundations of Reading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Praxis II: Education of Young Children (5024)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Elementary Education K-6</w:t>
            </w:r>
          </w:p>
        </w:tc>
        <w:tc>
          <w:tcPr>
            <w:tcW w:w="7049" w:type="dxa"/>
          </w:tcPr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 w:rsidR="00B973C0"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Foundations of Reading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Praxis II: Elementary Education: Multiple Subjects (5001)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Elementary Education K-8</w:t>
            </w:r>
          </w:p>
        </w:tc>
        <w:tc>
          <w:tcPr>
            <w:tcW w:w="7049" w:type="dxa"/>
          </w:tcPr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hAnsi="Arial" w:cs="Arial"/>
              </w:rPr>
              <w:t xml:space="preserve">All exams required for Elementary K-6 AND one </w:t>
            </w:r>
            <w:r w:rsidRPr="00B973C0">
              <w:rPr>
                <w:rFonts w:ascii="Arial" w:eastAsia="Times New Roman" w:hAnsi="Arial" w:cs="Arial"/>
                <w:color w:val="333333"/>
              </w:rPr>
              <w:t>PRAXIS content test in English/language arts, math, science, or social studies (5047, 5169, 5440, or 5089)</w:t>
            </w:r>
          </w:p>
          <w:p w:rsidR="005E5503" w:rsidRPr="00B973C0" w:rsidRDefault="005E5503" w:rsidP="00033701">
            <w:pPr>
              <w:rPr>
                <w:rFonts w:ascii="Arial" w:hAnsi="Arial" w:cs="Arial"/>
              </w:rPr>
            </w:pP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Mathematics 5-8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5E5503" w:rsidP="00033701">
            <w:pPr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Praxis II: Middle School Mathematics (5169)</w:t>
            </w:r>
          </w:p>
          <w:p w:rsidR="005E5503" w:rsidRPr="00B973C0" w:rsidRDefault="005E5503" w:rsidP="00033701">
            <w:pPr>
              <w:rPr>
                <w:rFonts w:ascii="Arial" w:hAnsi="Arial" w:cs="Arial"/>
              </w:rPr>
            </w:pPr>
          </w:p>
        </w:tc>
      </w:tr>
      <w:tr w:rsidR="00B973C0" w:rsidRPr="00B973C0" w:rsidTr="00033701">
        <w:trPr>
          <w:trHeight w:val="1241"/>
        </w:trPr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lastRenderedPageBreak/>
              <w:t xml:space="preserve">Mathematics 7-12 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Praxis II: Mathematics Content Knowledge (5161)</w:t>
            </w:r>
          </w:p>
        </w:tc>
      </w:tr>
      <w:tr w:rsidR="00B973C0" w:rsidRPr="00B973C0" w:rsidTr="00B973C0">
        <w:trPr>
          <w:trHeight w:val="908"/>
        </w:trPr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Social Studies 5-12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Praxis II: Social Studies: Content and Interpretation (5086)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English 5-12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Praxis II: English Language Arts Content and Analysis (5039)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 xml:space="preserve">Art 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B973C0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="005E5503" w:rsidRPr="00B973C0">
              <w:rPr>
                <w:rFonts w:ascii="Arial" w:hAnsi="Arial" w:cs="Arial"/>
              </w:rPr>
              <w:t xml:space="preserve"> II: Art Content Knowledge (5134)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Music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B973C0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hAnsi="Arial" w:cs="Arial"/>
              </w:rPr>
              <w:t xml:space="preserve"> </w:t>
            </w:r>
            <w:r w:rsidR="005E5503" w:rsidRPr="00B973C0">
              <w:rPr>
                <w:rFonts w:ascii="Arial" w:hAnsi="Arial" w:cs="Arial"/>
              </w:rPr>
              <w:t>II: Music Content Knowledge (5113)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 xml:space="preserve">Physical Education </w:t>
            </w:r>
          </w:p>
        </w:tc>
        <w:tc>
          <w:tcPr>
            <w:tcW w:w="7049" w:type="dxa"/>
          </w:tcPr>
          <w:p w:rsidR="00B973C0" w:rsidRPr="00B973C0" w:rsidRDefault="00B973C0" w:rsidP="00B973C0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</w:p>
          <w:p w:rsidR="005E5503" w:rsidRPr="00B973C0" w:rsidRDefault="00B973C0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="005E5503" w:rsidRPr="00B973C0">
              <w:rPr>
                <w:rFonts w:ascii="Arial" w:hAnsi="Arial" w:cs="Arial"/>
                <w:color w:val="000000" w:themeColor="text1"/>
              </w:rPr>
              <w:t xml:space="preserve"> II: Physical Education Content and Design</w:t>
            </w:r>
            <w:r w:rsidR="005E5503" w:rsidRPr="00B973C0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 xml:space="preserve"> (5095)</w:t>
            </w:r>
          </w:p>
          <w:p w:rsidR="005E5503" w:rsidRPr="00B973C0" w:rsidRDefault="005E5503" w:rsidP="00033701">
            <w:pPr>
              <w:rPr>
                <w:rFonts w:ascii="Arial" w:hAnsi="Arial" w:cs="Arial"/>
              </w:rPr>
            </w:pP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>Reading Writing Specialist</w:t>
            </w:r>
          </w:p>
        </w:tc>
        <w:tc>
          <w:tcPr>
            <w:tcW w:w="7049" w:type="dxa"/>
          </w:tcPr>
          <w:p w:rsidR="005E5503" w:rsidRPr="00B973C0" w:rsidRDefault="00B973C0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  <w:r w:rsidR="005E5503" w:rsidRPr="00B973C0">
              <w:rPr>
                <w:rFonts w:ascii="Arial" w:eastAsia="Times New Roman" w:hAnsi="Arial" w:cs="Arial"/>
                <w:color w:val="333333"/>
              </w:rPr>
              <w:t>, if not previously certified by the NH DOE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Foundations of Reading</w:t>
            </w:r>
          </w:p>
        </w:tc>
      </w:tr>
      <w:tr w:rsidR="00B973C0" w:rsidRPr="00B973C0" w:rsidTr="00033701">
        <w:tc>
          <w:tcPr>
            <w:tcW w:w="3116" w:type="dxa"/>
          </w:tcPr>
          <w:p w:rsidR="005E5503" w:rsidRPr="00B973C0" w:rsidRDefault="005E5503" w:rsidP="00033701">
            <w:pPr>
              <w:rPr>
                <w:rFonts w:ascii="Arial" w:hAnsi="Arial" w:cs="Arial"/>
              </w:rPr>
            </w:pPr>
            <w:r w:rsidRPr="00B973C0">
              <w:rPr>
                <w:rFonts w:ascii="Arial" w:hAnsi="Arial" w:cs="Arial"/>
              </w:rPr>
              <w:t xml:space="preserve">School Psychology, Technology Integrator, TESOL, School Counseling, Library Media, Special Education, Health Education </w:t>
            </w:r>
          </w:p>
        </w:tc>
        <w:tc>
          <w:tcPr>
            <w:tcW w:w="7049" w:type="dxa"/>
          </w:tcPr>
          <w:p w:rsidR="005E5503" w:rsidRPr="00B973C0" w:rsidRDefault="00B973C0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  <w:r w:rsidRPr="00B973C0">
              <w:rPr>
                <w:rFonts w:ascii="Arial" w:eastAsia="Times New Roman" w:hAnsi="Arial" w:cs="Arial"/>
                <w:color w:val="333333"/>
              </w:rPr>
              <w:t>P</w:t>
            </w:r>
            <w:r>
              <w:rPr>
                <w:rFonts w:ascii="Arial" w:eastAsia="Times New Roman" w:hAnsi="Arial" w:cs="Arial"/>
                <w:color w:val="333333"/>
              </w:rPr>
              <w:t>raxis</w:t>
            </w:r>
            <w:r w:rsidRPr="00B973C0">
              <w:rPr>
                <w:rFonts w:ascii="Arial" w:eastAsia="Times New Roman" w:hAnsi="Arial" w:cs="Arial"/>
                <w:color w:val="333333"/>
              </w:rPr>
              <w:t xml:space="preserve"> Core</w:t>
            </w:r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="005E5503" w:rsidRPr="00B973C0">
              <w:rPr>
                <w:rFonts w:ascii="Arial" w:eastAsia="Times New Roman" w:hAnsi="Arial" w:cs="Arial"/>
                <w:color w:val="333333"/>
              </w:rPr>
              <w:t>if not previously certified by the NH DOE</w:t>
            </w:r>
          </w:p>
          <w:p w:rsidR="005E5503" w:rsidRPr="00B973C0" w:rsidRDefault="005E5503" w:rsidP="00033701">
            <w:pPr>
              <w:spacing w:after="150"/>
              <w:ind w:right="750"/>
              <w:textAlignment w:val="baseline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5E5503" w:rsidRDefault="005E5503" w:rsidP="0096604E">
      <w:pPr>
        <w:ind w:right="375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96604E" w:rsidRDefault="0096604E" w:rsidP="0096604E">
      <w:pPr>
        <w:ind w:right="375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sectPr w:rsidR="009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62"/>
    <w:multiLevelType w:val="multilevel"/>
    <w:tmpl w:val="8D34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61B99"/>
    <w:multiLevelType w:val="multilevel"/>
    <w:tmpl w:val="015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E7"/>
    <w:rsid w:val="00316196"/>
    <w:rsid w:val="003B54B7"/>
    <w:rsid w:val="004119CA"/>
    <w:rsid w:val="005839FD"/>
    <w:rsid w:val="005E5503"/>
    <w:rsid w:val="006E2019"/>
    <w:rsid w:val="007A30CC"/>
    <w:rsid w:val="00824305"/>
    <w:rsid w:val="0096604E"/>
    <w:rsid w:val="00B065E7"/>
    <w:rsid w:val="00B973C0"/>
    <w:rsid w:val="00CB7443"/>
    <w:rsid w:val="00D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456D5-3603-4BF7-A081-378B496B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4B7"/>
    <w:rPr>
      <w:color w:val="0000FF"/>
      <w:u w:val="single"/>
    </w:rPr>
  </w:style>
  <w:style w:type="character" w:customStyle="1" w:styleId="info">
    <w:name w:val="info"/>
    <w:basedOn w:val="DefaultParagraphFont"/>
    <w:rsid w:val="007A30CC"/>
  </w:style>
  <w:style w:type="character" w:styleId="FollowedHyperlink">
    <w:name w:val="FollowedHyperlink"/>
    <w:basedOn w:val="DefaultParagraphFont"/>
    <w:uiPriority w:val="99"/>
    <w:semiHidden/>
    <w:unhideWhenUsed/>
    <w:rsid w:val="009660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E5503"/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-praxis@plym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.ne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.org/praxis/nh/requirements" TargetMode="External"/><Relationship Id="rId5" Type="http://schemas.openxmlformats.org/officeDocument/2006/relationships/hyperlink" Target="https://www.plymouth.edu/office/educator-preparation/certification-testing-requirements-praxis-co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Comeau-Palmer</dc:creator>
  <cp:keywords/>
  <dc:description/>
  <cp:lastModifiedBy>Valerie Comeau-Palmer</cp:lastModifiedBy>
  <cp:revision>2</cp:revision>
  <dcterms:created xsi:type="dcterms:W3CDTF">2017-03-28T18:09:00Z</dcterms:created>
  <dcterms:modified xsi:type="dcterms:W3CDTF">2017-03-28T18:09:00Z</dcterms:modified>
</cp:coreProperties>
</file>